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65AEF4" w14:textId="77777777" w:rsidR="00F331F5" w:rsidRPr="00057814" w:rsidRDefault="00000000">
      <w:pPr>
        <w:pStyle w:val="Heading1"/>
        <w:rPr>
          <w:color w:val="auto"/>
          <w:sz w:val="40"/>
          <w:szCs w:val="40"/>
        </w:rPr>
      </w:pPr>
      <w:r w:rsidRPr="00057814">
        <w:rPr>
          <w:color w:val="auto"/>
          <w:sz w:val="40"/>
          <w:szCs w:val="40"/>
        </w:rPr>
        <w:t>Customer Lifetime Value (CLV) Prediction Project</w:t>
      </w:r>
    </w:p>
    <w:p w14:paraId="1AF59AA3" w14:textId="71A67B44" w:rsidR="00F331F5" w:rsidRDefault="00000000">
      <w:r>
        <w:t xml:space="preserve">A six-month CLV forecasting model built on the </w:t>
      </w:r>
      <w:r w:rsidRPr="00057814">
        <w:rPr>
          <w:b/>
          <w:bCs/>
        </w:rPr>
        <w:t>Online Retail II</w:t>
      </w:r>
      <w:r w:rsidR="00057814">
        <w:t xml:space="preserve"> </w:t>
      </w:r>
      <w:r>
        <w:t xml:space="preserve">dataset achieves a realistic test-set accuracy of </w:t>
      </w:r>
      <w:r w:rsidR="00057814">
        <w:t xml:space="preserve"> </w:t>
      </w:r>
      <w:r w:rsidRPr="00057814">
        <w:rPr>
          <w:b/>
          <w:bCs/>
        </w:rPr>
        <w:t>R² ≈ 0.999</w:t>
      </w:r>
      <w:r>
        <w:t xml:space="preserve"> and reveals that just 17% of customers drive over 85% of projected revenue. The end-to-end pipeline—covering rigorous data cleaning, leakage-free feature engineering, Random-Forest modelling, and actionable segmentation—positions marketing teams to lift ROI, cut churn, and prioritise high-value relationships.</w:t>
      </w:r>
    </w:p>
    <w:p w14:paraId="5B3A2A71" w14:textId="77777777" w:rsidR="00F331F5" w:rsidRDefault="00F331F5"/>
    <w:p w14:paraId="617B18F9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Introduction and Objectives</w:t>
      </w:r>
    </w:p>
    <w:p w14:paraId="4A7A0630" w14:textId="77777777" w:rsidR="00F331F5" w:rsidRDefault="00000000">
      <w:r>
        <w:t>Predicting future customer value is pivotal as acquisition costs outpace retention budgets. This project pursues three concrete aims:</w:t>
      </w:r>
    </w:p>
    <w:p w14:paraId="464C3156" w14:textId="06A3C62E" w:rsidR="00F331F5" w:rsidRDefault="00000000">
      <w:r>
        <w:t xml:space="preserve">1. </w:t>
      </w:r>
      <w:r w:rsidRPr="00057814">
        <w:rPr>
          <w:b/>
          <w:bCs/>
        </w:rPr>
        <w:t>Forecast six-month CLV</w:t>
      </w:r>
      <w:r>
        <w:t xml:space="preserve"> for every customer using only information available before the forecast window.</w:t>
      </w:r>
    </w:p>
    <w:p w14:paraId="740D782C" w14:textId="32924B0A" w:rsidR="00F331F5" w:rsidRDefault="00000000">
      <w:r>
        <w:t xml:space="preserve">2. </w:t>
      </w:r>
      <w:r w:rsidRPr="00057814">
        <w:rPr>
          <w:b/>
          <w:bCs/>
        </w:rPr>
        <w:t>Explain the drivers</w:t>
      </w:r>
      <w:r>
        <w:t xml:space="preserve"> of CLV through interpretable RFM features.</w:t>
      </w:r>
    </w:p>
    <w:p w14:paraId="43C81836" w14:textId="51356858" w:rsidR="00F331F5" w:rsidRDefault="00000000">
      <w:r>
        <w:t xml:space="preserve">3. </w:t>
      </w:r>
      <w:r w:rsidRPr="00057814">
        <w:rPr>
          <w:b/>
          <w:bCs/>
        </w:rPr>
        <w:t>Translate predictions into business action</w:t>
      </w:r>
      <w:r>
        <w:t xml:space="preserve"> via clear segments and a Streamlit dashboard.</w:t>
      </w:r>
    </w:p>
    <w:p w14:paraId="6E559C91" w14:textId="77777777" w:rsidR="00F331F5" w:rsidRDefault="00F331F5"/>
    <w:p w14:paraId="6564556B" w14:textId="77777777" w:rsidR="00F331F5" w:rsidRDefault="00000000">
      <w:r>
        <w:t>Success is measured by (a) an out-of-sample R² &gt; 0.95, (b) reproducible notebooks, and (c) recommendations that map directly to marketing programmes.</w:t>
      </w:r>
    </w:p>
    <w:p w14:paraId="552DD5B1" w14:textId="77777777" w:rsidR="00F331F5" w:rsidRDefault="00F331F5"/>
    <w:p w14:paraId="5A6BCFC0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Data and Methodology</w:t>
      </w:r>
    </w:p>
    <w:p w14:paraId="750DDA87" w14:textId="77777777" w:rsidR="00F331F5" w:rsidRPr="00057814" w:rsidRDefault="00000000">
      <w:pPr>
        <w:pStyle w:val="Heading3"/>
        <w:rPr>
          <w:color w:val="auto"/>
          <w:sz w:val="24"/>
          <w:szCs w:val="24"/>
        </w:rPr>
      </w:pPr>
      <w:r w:rsidRPr="00057814">
        <w:rPr>
          <w:color w:val="auto"/>
          <w:sz w:val="24"/>
          <w:szCs w:val="24"/>
        </w:rPr>
        <w:t>Dataset Overview</w:t>
      </w:r>
    </w:p>
    <w:p w14:paraId="2F856ED2" w14:textId="152B73ED" w:rsidR="00F331F5" w:rsidRDefault="00000000">
      <w:r>
        <w:t xml:space="preserve">We analysed 1.07 M UK e-commerce transactions dated </w:t>
      </w:r>
      <w:r w:rsidRPr="00057814">
        <w:rPr>
          <w:b/>
          <w:bCs/>
        </w:rPr>
        <w:t>Dec 2009 – Dec 2011.</w:t>
      </w:r>
      <w:r>
        <w:t xml:space="preserve"> After removing rows lacking a `CustomerID`, negative quantities, and zero/negative prices, the working set comprised </w:t>
      </w:r>
      <w:r w:rsidRPr="00057814">
        <w:rPr>
          <w:b/>
          <w:bCs/>
        </w:rPr>
        <w:t>805 549 transactions across 5 878 customers.</w:t>
      </w:r>
    </w:p>
    <w:p w14:paraId="2CF938D8" w14:textId="77777777" w:rsidR="00F331F5" w:rsidRDefault="00F331F5"/>
    <w:p w14:paraId="7006860A" w14:textId="77777777" w:rsidR="00F331F5" w:rsidRPr="00057814" w:rsidRDefault="00000000">
      <w:pPr>
        <w:pStyle w:val="Heading3"/>
        <w:rPr>
          <w:color w:val="auto"/>
          <w:sz w:val="24"/>
          <w:szCs w:val="24"/>
        </w:rPr>
      </w:pPr>
      <w:r w:rsidRPr="00057814">
        <w:rPr>
          <w:color w:val="auto"/>
          <w:sz w:val="24"/>
          <w:szCs w:val="24"/>
        </w:rPr>
        <w:t>Preventing Target Leakage</w:t>
      </w:r>
    </w:p>
    <w:p w14:paraId="45512A17" w14:textId="57E0C2D4" w:rsidR="00F331F5" w:rsidRDefault="00000000">
      <w:r>
        <w:t xml:space="preserve">To ensure predictions truly anticipate future spend, we introduced a </w:t>
      </w:r>
      <w:r w:rsidRPr="00057814">
        <w:rPr>
          <w:b/>
          <w:bCs/>
        </w:rPr>
        <w:t>cut-off date of 1 June 2011.</w:t>
      </w:r>
    </w:p>
    <w:p w14:paraId="55C882F4" w14:textId="7D25D0C7" w:rsidR="00F331F5" w:rsidRDefault="00000000">
      <w:pPr>
        <w:pStyle w:val="ListBullet"/>
      </w:pPr>
      <w:r>
        <w:t xml:space="preserve">RFM features were calculated from transactions </w:t>
      </w:r>
      <w:r w:rsidRPr="00057814">
        <w:rPr>
          <w:b/>
          <w:bCs/>
        </w:rPr>
        <w:t>before</w:t>
      </w:r>
      <w:r>
        <w:t xml:space="preserve"> the cut-off.</w:t>
      </w:r>
    </w:p>
    <w:p w14:paraId="0854B93D" w14:textId="232A0AC9" w:rsidR="00F331F5" w:rsidRDefault="00000000">
      <w:pPr>
        <w:pStyle w:val="ListBullet"/>
      </w:pPr>
      <w:r>
        <w:t xml:space="preserve">The target—customer spend </w:t>
      </w:r>
      <w:r w:rsidRPr="00057814">
        <w:rPr>
          <w:b/>
          <w:bCs/>
        </w:rPr>
        <w:t>after</w:t>
      </w:r>
      <w:r>
        <w:t xml:space="preserve"> the cut-off—formed the ground-truth CLV.</w:t>
      </w:r>
    </w:p>
    <w:p w14:paraId="7DC42D9E" w14:textId="77777777" w:rsidR="00337C83" w:rsidRDefault="00337C83"/>
    <w:p w14:paraId="35531088" w14:textId="31F421DF" w:rsidR="00F331F5" w:rsidRDefault="00337C83">
      <w:r>
        <w:rPr>
          <w:noProof/>
        </w:rPr>
        <w:drawing>
          <wp:anchor distT="0" distB="0" distL="114300" distR="114300" simplePos="0" relativeHeight="251668480" behindDoc="1" locked="0" layoutInCell="1" allowOverlap="1" wp14:anchorId="785095E1" wp14:editId="5E2E515C">
            <wp:simplePos x="0" y="0"/>
            <wp:positionH relativeFrom="column">
              <wp:posOffset>655320</wp:posOffset>
            </wp:positionH>
            <wp:positionV relativeFrom="page">
              <wp:posOffset>312420</wp:posOffset>
            </wp:positionV>
            <wp:extent cx="2804160" cy="3672840"/>
            <wp:effectExtent l="0" t="0" r="0" b="3810"/>
            <wp:wrapTopAndBottom/>
            <wp:docPr id="665577998" name="Picture 5" descr="CLV Prediction Data Pipeline Flo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V Prediction Data Pipeline Flow Diagr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This temporal split aligns with best-practice guidance on leakage control.</w:t>
      </w:r>
    </w:p>
    <w:p w14:paraId="4EAE1429" w14:textId="1F909AE7" w:rsidR="00F331F5" w:rsidRDefault="00F331F5"/>
    <w:p w14:paraId="0748522C" w14:textId="77777777" w:rsidR="00F331F5" w:rsidRPr="00057814" w:rsidRDefault="00000000">
      <w:pPr>
        <w:pStyle w:val="Heading3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Feature Engineering</w:t>
      </w:r>
    </w:p>
    <w:p w14:paraId="7C851D53" w14:textId="55A251AC" w:rsidR="00F331F5" w:rsidRDefault="00000000">
      <w:pPr>
        <w:pStyle w:val="ListBullet"/>
      </w:pPr>
      <w:r>
        <w:t>Recency: days since last purchase (mean = 132).</w:t>
      </w:r>
    </w:p>
    <w:p w14:paraId="19C2F3F6" w14:textId="07818054" w:rsidR="00F331F5" w:rsidRDefault="00000000">
      <w:pPr>
        <w:pStyle w:val="ListBullet"/>
      </w:pPr>
      <w:r>
        <w:t>Frequency: count of invoices (mean = 4.3, max = 210).</w:t>
      </w:r>
    </w:p>
    <w:p w14:paraId="6715F31D" w14:textId="41E4EE85" w:rsidR="00F331F5" w:rsidRDefault="00000000">
      <w:pPr>
        <w:pStyle w:val="ListBullet"/>
      </w:pPr>
      <w:r>
        <w:t>Monetary: total spend (mean = £1 864).</w:t>
      </w:r>
    </w:p>
    <w:p w14:paraId="501C9C11" w14:textId="77777777" w:rsidR="00F331F5" w:rsidRDefault="00000000">
      <w:r>
        <w:t>All variables and the target underwent `log1p` transformation to mitigate extreme skew.</w:t>
      </w:r>
    </w:p>
    <w:p w14:paraId="749C0DAB" w14:textId="77777777" w:rsidR="00F331F5" w:rsidRDefault="00F331F5"/>
    <w:p w14:paraId="21C53CA1" w14:textId="77777777" w:rsidR="00F331F5" w:rsidRPr="00057814" w:rsidRDefault="00000000">
      <w:pPr>
        <w:pStyle w:val="Heading2"/>
        <w:rPr>
          <w:color w:val="auto"/>
          <w:sz w:val="28"/>
          <w:szCs w:val="28"/>
        </w:rPr>
      </w:pPr>
      <w:r w:rsidRPr="00057814">
        <w:rPr>
          <w:color w:val="auto"/>
          <w:sz w:val="28"/>
          <w:szCs w:val="28"/>
        </w:rPr>
        <w:t>Model Development</w:t>
      </w:r>
    </w:p>
    <w:p w14:paraId="26B3A85C" w14:textId="77777777" w:rsidR="00F331F5" w:rsidRDefault="00000000">
      <w:r>
        <w:t>We compared four algorithms:</w:t>
      </w:r>
    </w:p>
    <w:tbl>
      <w:tblPr>
        <w:tblW w:w="11100" w:type="dxa"/>
        <w:tblInd w:w="-8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7"/>
        <w:gridCol w:w="3544"/>
        <w:gridCol w:w="2719"/>
      </w:tblGrid>
      <w:tr w:rsidR="00057814" w:rsidRPr="00057814" w14:paraId="7C7E9663" w14:textId="77777777" w:rsidTr="000D5F6B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9E5297" w14:textId="77777777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Algorithm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335C8" w14:textId="77777777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RMSE (test)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C32C13" w14:textId="77777777" w:rsidR="00057814" w:rsidRPr="00057814" w:rsidRDefault="00057814" w:rsidP="00057814">
            <w:pPr>
              <w:rPr>
                <w:b/>
                <w:bCs/>
                <w:lang w:val="en-IN"/>
              </w:rPr>
            </w:pPr>
            <w:r w:rsidRPr="00057814">
              <w:rPr>
                <w:b/>
                <w:bCs/>
                <w:lang w:val="en-IN"/>
              </w:rPr>
              <w:t>R² (test)</w:t>
            </w:r>
          </w:p>
        </w:tc>
      </w:tr>
      <w:tr w:rsidR="00057814" w:rsidRPr="00057814" w14:paraId="46E468C8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F5C4AB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Random Forest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2AB97A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b/>
                <w:bCs/>
                <w:lang w:val="en-IN"/>
              </w:rPr>
              <w:t>0.036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BE62348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b/>
                <w:bCs/>
                <w:lang w:val="en-IN"/>
              </w:rPr>
              <w:t>0.9993</w:t>
            </w:r>
          </w:p>
        </w:tc>
      </w:tr>
      <w:tr w:rsidR="00057814" w:rsidRPr="00057814" w14:paraId="6FA64DFA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394A296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Neural Network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82E3DD8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0.048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0749C7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0.9989</w:t>
            </w:r>
          </w:p>
        </w:tc>
      </w:tr>
      <w:tr w:rsidR="00057814" w:rsidRPr="00057814" w14:paraId="70316868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0A653B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XGBoost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BDA7A8C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0.107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79C3F33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0.9944</w:t>
            </w:r>
          </w:p>
        </w:tc>
      </w:tr>
      <w:tr w:rsidR="00057814" w:rsidRPr="00057814" w14:paraId="30A0B320" w14:textId="77777777" w:rsidTr="000D5F6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27F58AA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lastRenderedPageBreak/>
              <w:t>Linear Regression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794766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~0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9B5057E" w14:textId="77777777" w:rsidR="00057814" w:rsidRPr="00057814" w:rsidRDefault="00057814" w:rsidP="00057814">
            <w:pPr>
              <w:rPr>
                <w:lang w:val="en-IN"/>
              </w:rPr>
            </w:pPr>
            <w:r w:rsidRPr="00057814">
              <w:rPr>
                <w:lang w:val="en-IN"/>
              </w:rPr>
              <w:t>1.0000†</w:t>
            </w:r>
          </w:p>
        </w:tc>
      </w:tr>
    </w:tbl>
    <w:p w14:paraId="554E89EB" w14:textId="77777777" w:rsidR="00F331F5" w:rsidRDefault="00F331F5"/>
    <w:p w14:paraId="410DD490" w14:textId="016D8905" w:rsidR="00F331F5" w:rsidRDefault="00F331F5"/>
    <w:p w14:paraId="4AA06A22" w14:textId="0F364BDD" w:rsidR="00F331F5" w:rsidRDefault="00337C83">
      <w:r>
        <w:rPr>
          <w:noProof/>
        </w:rPr>
        <w:drawing>
          <wp:anchor distT="0" distB="0" distL="114300" distR="114300" simplePos="0" relativeHeight="251662336" behindDoc="1" locked="0" layoutInCell="1" allowOverlap="1" wp14:anchorId="3633E9F8" wp14:editId="0C32B897">
            <wp:simplePos x="0" y="0"/>
            <wp:positionH relativeFrom="column">
              <wp:posOffset>320040</wp:posOffset>
            </wp:positionH>
            <wp:positionV relativeFrom="page">
              <wp:posOffset>3131820</wp:posOffset>
            </wp:positionV>
            <wp:extent cx="3025140" cy="4015740"/>
            <wp:effectExtent l="0" t="0" r="3810" b="3810"/>
            <wp:wrapTopAndBottom/>
            <wp:docPr id="10155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19147" name="Picture 10155191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†Perfect scores signalled residual leakage, hence discarded.</w:t>
      </w:r>
    </w:p>
    <w:p w14:paraId="071481AE" w14:textId="796412E8" w:rsidR="00F331F5" w:rsidRDefault="00F331F5"/>
    <w:p w14:paraId="44650305" w14:textId="2AB9977D" w:rsidR="000D5F6B" w:rsidRDefault="000D5F6B"/>
    <w:p w14:paraId="38BFB632" w14:textId="0AD6F5E3" w:rsidR="00F331F5" w:rsidRDefault="00000000">
      <w:r>
        <w:t>Random Forest was selected for its top accuracy and robustness to non-linearity.</w:t>
      </w:r>
    </w:p>
    <w:p w14:paraId="2DBD68AB" w14:textId="6D6C9769" w:rsidR="00F331F5" w:rsidRDefault="00F331F5"/>
    <w:p w14:paraId="56652D0E" w14:textId="77777777" w:rsidR="00F331F5" w:rsidRPr="000D5F6B" w:rsidRDefault="00000000">
      <w:pPr>
        <w:pStyle w:val="Heading3"/>
        <w:rPr>
          <w:color w:val="auto"/>
          <w:sz w:val="24"/>
          <w:szCs w:val="24"/>
        </w:rPr>
      </w:pPr>
      <w:r w:rsidRPr="000D5F6B">
        <w:rPr>
          <w:color w:val="auto"/>
          <w:sz w:val="24"/>
          <w:szCs w:val="24"/>
        </w:rPr>
        <w:t>Feature Importance</w:t>
      </w:r>
    </w:p>
    <w:p w14:paraId="027E5020" w14:textId="59EE608A" w:rsidR="00F331F5" w:rsidRDefault="00000000">
      <w:r>
        <w:t>Random Forest attribution shows Monetary (85 %), Frequency (10 %), and Recency (5 %) contribute to prediction—consistent with prior RFM studies.</w:t>
      </w:r>
    </w:p>
    <w:p w14:paraId="42D48D87" w14:textId="1AEB0933" w:rsidR="00F331F5" w:rsidRDefault="00F331F5"/>
    <w:p w14:paraId="6F464CD5" w14:textId="54CAA821" w:rsidR="00F331F5" w:rsidRPr="000D5F6B" w:rsidRDefault="00000000">
      <w:pPr>
        <w:pStyle w:val="Heading2"/>
        <w:rPr>
          <w:color w:val="auto"/>
          <w:sz w:val="28"/>
          <w:szCs w:val="28"/>
        </w:rPr>
      </w:pPr>
      <w:r w:rsidRPr="000D5F6B">
        <w:rPr>
          <w:color w:val="auto"/>
          <w:sz w:val="28"/>
          <w:szCs w:val="28"/>
        </w:rPr>
        <w:t>Key Findings</w:t>
      </w:r>
    </w:p>
    <w:p w14:paraId="76FE8195" w14:textId="74E954F4" w:rsidR="00F331F5" w:rsidRDefault="00000000">
      <w:r>
        <w:t>1. High-value concentration – 17 % of customers generate 85 % of predicted revenue.</w:t>
      </w:r>
    </w:p>
    <w:p w14:paraId="1CBE3B39" w14:textId="040070B0" w:rsidR="00F331F5" w:rsidRDefault="00000000">
      <w:r>
        <w:t>2. Spending dominates – Historical monetary value is the strongest single predictor.</w:t>
      </w:r>
    </w:p>
    <w:p w14:paraId="48F2CA8E" w14:textId="0EA5BA29" w:rsidR="00F331F5" w:rsidRDefault="00000000">
      <w:r>
        <w:t>3. Actionable risk pool – 189 customers are high-value yet inactive for &gt; 90 days.</w:t>
      </w:r>
    </w:p>
    <w:p w14:paraId="2551830D" w14:textId="77777777" w:rsidR="00F331F5" w:rsidRDefault="00F331F5"/>
    <w:p w14:paraId="431D5EEB" w14:textId="77777777" w:rsidR="00F331F5" w:rsidRPr="000D5F6B" w:rsidRDefault="00000000">
      <w:pPr>
        <w:pStyle w:val="Heading2"/>
        <w:rPr>
          <w:color w:val="auto"/>
          <w:sz w:val="28"/>
          <w:szCs w:val="28"/>
        </w:rPr>
      </w:pPr>
      <w:r w:rsidRPr="000D5F6B">
        <w:rPr>
          <w:color w:val="auto"/>
          <w:sz w:val="28"/>
          <w:szCs w:val="28"/>
        </w:rPr>
        <w:t>Customer Segmentation</w:t>
      </w:r>
    </w:p>
    <w:p w14:paraId="58CF2500" w14:textId="576757F2" w:rsidR="00F331F5" w:rsidRDefault="00337C83">
      <w:r>
        <w:rPr>
          <w:noProof/>
        </w:rPr>
        <w:drawing>
          <wp:anchor distT="0" distB="0" distL="114300" distR="114300" simplePos="0" relativeHeight="251666432" behindDoc="0" locked="0" layoutInCell="1" allowOverlap="1" wp14:anchorId="1F830D06" wp14:editId="55505D96">
            <wp:simplePos x="0" y="0"/>
            <wp:positionH relativeFrom="column">
              <wp:posOffset>731520</wp:posOffset>
            </wp:positionH>
            <wp:positionV relativeFrom="page">
              <wp:posOffset>6499860</wp:posOffset>
            </wp:positionV>
            <wp:extent cx="3360420" cy="3360420"/>
            <wp:effectExtent l="0" t="0" r="0" b="0"/>
            <wp:wrapTopAndBottom/>
            <wp:docPr id="1309054989" name="Picture 3" descr="Customer Segmentation Decision Tree Based on RFM and Predicted C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stomer Segmentation Decision Tree Based on RFM and Predicted CLV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Rule-based thresholds converted predictions into five business personas:</w:t>
      </w:r>
    </w:p>
    <w:tbl>
      <w:tblPr>
        <w:tblW w:w="11100" w:type="dxa"/>
        <w:tblInd w:w="-66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3976"/>
        <w:gridCol w:w="2157"/>
        <w:gridCol w:w="2853"/>
      </w:tblGrid>
      <w:tr w:rsidR="000D5F6B" w:rsidRPr="000D5F6B" w14:paraId="54762DFB" w14:textId="77777777" w:rsidTr="00337C83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41BA6E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Segment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99E315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Criteria (R, F, CLV)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A95D4A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Customers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6CD6B7" w14:textId="77777777" w:rsidR="000D5F6B" w:rsidRPr="000D5F6B" w:rsidRDefault="000D5F6B" w:rsidP="000D5F6B">
            <w:pPr>
              <w:rPr>
                <w:b/>
                <w:bCs/>
                <w:lang w:val="en-IN"/>
              </w:rPr>
            </w:pPr>
            <w:r w:rsidRPr="000D5F6B">
              <w:rPr>
                <w:b/>
                <w:bCs/>
                <w:lang w:val="en-IN"/>
              </w:rPr>
              <w:t>Revenue Share</w:t>
            </w:r>
          </w:p>
        </w:tc>
      </w:tr>
      <w:tr w:rsidR="000D5F6B" w:rsidRPr="000D5F6B" w14:paraId="40405445" w14:textId="77777777" w:rsidTr="00337C8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4CEC7A1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Champions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BCD5657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≤ 30 ∧ CLV &gt; £4 000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F75FBD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294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C4AE502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45%</w:t>
            </w:r>
          </w:p>
        </w:tc>
      </w:tr>
      <w:tr w:rsidR="000D5F6B" w:rsidRPr="000D5F6B" w14:paraId="6B7F4C1E" w14:textId="77777777" w:rsidTr="00337C8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EEDAD09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Loyal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F142787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F ≥ 10 ∧ CLV &gt; £2 500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33D7096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712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714FECA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40%</w:t>
            </w:r>
          </w:p>
        </w:tc>
      </w:tr>
      <w:tr w:rsidR="000D5F6B" w:rsidRPr="000D5F6B" w14:paraId="7BDB4951" w14:textId="77777777" w:rsidTr="00337C8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D9818B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At Risk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EF88A55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&gt; 90 ∧ CLV &gt; £3 000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FDFA9A8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189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27C7684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10%</w:t>
            </w:r>
          </w:p>
        </w:tc>
      </w:tr>
      <w:tr w:rsidR="000D5F6B" w:rsidRPr="000D5F6B" w14:paraId="7A808534" w14:textId="77777777" w:rsidTr="00337C8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6989E71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Others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80322C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B590774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4 428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7FAF9A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5%</w:t>
            </w:r>
          </w:p>
        </w:tc>
      </w:tr>
      <w:tr w:rsidR="000D5F6B" w:rsidRPr="000D5F6B" w14:paraId="696286D8" w14:textId="77777777" w:rsidTr="00337C8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F83091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Lost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0FF7750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R &gt; 120 ∧ CLV &lt; £1 000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391235B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255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2065E76" w14:textId="77777777" w:rsidR="000D5F6B" w:rsidRPr="000D5F6B" w:rsidRDefault="000D5F6B" w:rsidP="000D5F6B">
            <w:pPr>
              <w:rPr>
                <w:lang w:val="en-IN"/>
              </w:rPr>
            </w:pPr>
            <w:r w:rsidRPr="000D5F6B">
              <w:rPr>
                <w:lang w:val="en-IN"/>
              </w:rPr>
              <w:t>&lt;1%</w:t>
            </w:r>
          </w:p>
        </w:tc>
      </w:tr>
    </w:tbl>
    <w:p w14:paraId="5D6D5E62" w14:textId="27D5FD68" w:rsidR="00F331F5" w:rsidRPr="00337C83" w:rsidRDefault="00000000">
      <w:pPr>
        <w:pStyle w:val="Heading2"/>
        <w:rPr>
          <w:color w:val="auto"/>
          <w:sz w:val="28"/>
          <w:szCs w:val="28"/>
        </w:rPr>
      </w:pPr>
      <w:r w:rsidRPr="00337C83">
        <w:rPr>
          <w:color w:val="auto"/>
          <w:sz w:val="28"/>
          <w:szCs w:val="28"/>
        </w:rPr>
        <w:lastRenderedPageBreak/>
        <w:t>Business Recommendations</w:t>
      </w:r>
    </w:p>
    <w:p w14:paraId="47CAAD1E" w14:textId="2BCEC119" w:rsidR="00F331F5" w:rsidRDefault="00337C83">
      <w:r>
        <w:rPr>
          <w:noProof/>
        </w:rPr>
        <w:drawing>
          <wp:inline distT="0" distB="0" distL="0" distR="0" wp14:anchorId="3E0FD94D" wp14:editId="2E8BF55C">
            <wp:extent cx="5486400" cy="3657600"/>
            <wp:effectExtent l="0" t="0" r="0" b="0"/>
            <wp:docPr id="237749616" name="Picture 4" descr="Business Action Framework Mapping Segments to Marketing Strate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iness Action Framework Mapping Segments to Marketing Strategi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37BB" w14:textId="51DBFD78" w:rsidR="00F331F5" w:rsidRPr="00337C83" w:rsidRDefault="00000000">
      <w:pPr>
        <w:pStyle w:val="Heading2"/>
        <w:rPr>
          <w:color w:val="auto"/>
          <w:sz w:val="28"/>
          <w:szCs w:val="28"/>
        </w:rPr>
      </w:pPr>
      <w:r w:rsidRPr="00337C83">
        <w:rPr>
          <w:color w:val="auto"/>
          <w:sz w:val="28"/>
          <w:szCs w:val="28"/>
        </w:rPr>
        <w:t>Deployment-Ready Assets</w:t>
      </w:r>
    </w:p>
    <w:p w14:paraId="1746E6FD" w14:textId="23DBE1C1" w:rsidR="00F331F5" w:rsidRDefault="00000000">
      <w:pPr>
        <w:pStyle w:val="ListBullet"/>
      </w:pPr>
      <w:r>
        <w:t>Streamlit dashboard enables non-technical users to upload data, visualise segments, and download filtered lists.</w:t>
      </w:r>
    </w:p>
    <w:p w14:paraId="16183A86" w14:textId="6B480292" w:rsidR="00F331F5" w:rsidRDefault="00000000">
      <w:pPr>
        <w:pStyle w:val="ListBullet"/>
      </w:pPr>
      <w:r>
        <w:t>Model and scaler stored with version control for monthly scoring.</w:t>
      </w:r>
    </w:p>
    <w:p w14:paraId="3A89EC83" w14:textId="77777777" w:rsidR="00F331F5" w:rsidRDefault="00000000">
      <w:pPr>
        <w:pStyle w:val="ListBullet"/>
      </w:pPr>
      <w:r>
        <w:t>Reproducible notebooks cover exploration, feature engineering, modelling, and business analysis.</w:t>
      </w:r>
    </w:p>
    <w:p w14:paraId="58434284" w14:textId="77777777" w:rsidR="00F331F5" w:rsidRDefault="00F331F5"/>
    <w:p w14:paraId="275BB57F" w14:textId="77777777" w:rsidR="00F331F5" w:rsidRPr="00337C83" w:rsidRDefault="00000000">
      <w:pPr>
        <w:pStyle w:val="Heading2"/>
        <w:rPr>
          <w:color w:val="auto"/>
          <w:sz w:val="28"/>
          <w:szCs w:val="28"/>
        </w:rPr>
      </w:pPr>
      <w:r w:rsidRPr="00337C83">
        <w:rPr>
          <w:color w:val="auto"/>
          <w:sz w:val="28"/>
          <w:szCs w:val="28"/>
        </w:rPr>
        <w:t>Conclusion</w:t>
      </w:r>
    </w:p>
    <w:p w14:paraId="044E8010" w14:textId="4EBD6B4B" w:rsidR="00F331F5" w:rsidRDefault="00000000">
      <w:r>
        <w:t xml:space="preserve">Through leakage-free design, rigorous modelling, and clear visual flows, the project produces a high-accuracy CLV predictor that empowers marketing to focus retention spend where it matters most. Expected impacts include a </w:t>
      </w:r>
      <w:r w:rsidRPr="00337C83">
        <w:rPr>
          <w:b/>
          <w:bCs/>
        </w:rPr>
        <w:t>15–25 % uplift in campaign ROI</w:t>
      </w:r>
      <w:r>
        <w:t xml:space="preserve">, a </w:t>
      </w:r>
      <w:r w:rsidRPr="00337C83">
        <w:rPr>
          <w:b/>
          <w:bCs/>
        </w:rPr>
        <w:t>10–15 % drop in high-value churn</w:t>
      </w:r>
      <w:r>
        <w:t>, and a scalable framework for future analytics enhancements.</w:t>
      </w:r>
    </w:p>
    <w:sectPr w:rsidR="00F331F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19996255">
    <w:abstractNumId w:val="8"/>
  </w:num>
  <w:num w:numId="2" w16cid:durableId="69620863">
    <w:abstractNumId w:val="6"/>
  </w:num>
  <w:num w:numId="3" w16cid:durableId="27725229">
    <w:abstractNumId w:val="5"/>
  </w:num>
  <w:num w:numId="4" w16cid:durableId="1038043369">
    <w:abstractNumId w:val="4"/>
  </w:num>
  <w:num w:numId="5" w16cid:durableId="1545825233">
    <w:abstractNumId w:val="7"/>
  </w:num>
  <w:num w:numId="6" w16cid:durableId="413093880">
    <w:abstractNumId w:val="3"/>
  </w:num>
  <w:num w:numId="7" w16cid:durableId="998921233">
    <w:abstractNumId w:val="2"/>
  </w:num>
  <w:num w:numId="8" w16cid:durableId="832451252">
    <w:abstractNumId w:val="1"/>
  </w:num>
  <w:num w:numId="9" w16cid:durableId="1037049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7814"/>
    <w:rsid w:val="0006063C"/>
    <w:rsid w:val="000D5F6B"/>
    <w:rsid w:val="0015074B"/>
    <w:rsid w:val="001537DD"/>
    <w:rsid w:val="0029639D"/>
    <w:rsid w:val="00326F90"/>
    <w:rsid w:val="00337C83"/>
    <w:rsid w:val="00AA1D8D"/>
    <w:rsid w:val="00B47730"/>
    <w:rsid w:val="00CB0664"/>
    <w:rsid w:val="00CE65DC"/>
    <w:rsid w:val="00F331F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91E8DA"/>
  <w14:defaultImageDpi w14:val="300"/>
  <w15:docId w15:val="{B14369DE-D1C1-4BC9-BB70-223BBB194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Harsha Sharma</cp:lastModifiedBy>
  <cp:revision>2</cp:revision>
  <dcterms:created xsi:type="dcterms:W3CDTF">2013-12-23T23:15:00Z</dcterms:created>
  <dcterms:modified xsi:type="dcterms:W3CDTF">2025-07-23T09:24:00Z</dcterms:modified>
  <cp:category/>
</cp:coreProperties>
</file>